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Acne Management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workshop is especially designed to build professional confidence in acne management.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Learning Objectives: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hair follicle.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the pathogenesis of acne and excess sebum.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Identifying the different grade of acne, and acne types.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what can trigger acne.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discuss how certain hormones and types of anaerobic bacteria play a role in the creation of acne, the medications that doctors use to treat it as well as vitamins and other supplements that can be helpful in the control of acne.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Identifying when it’s not acne.?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Practical Objectives: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Learn how to use your Skin Consultation as a tool to determine the root cause and determining the best course of action and treatment options.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how you can apply knowledge to product and in-clinic facial treatment and modalities.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the psychological factors and holistic needs of your clients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Course details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Duration 6 hours (50/50 theory and practical)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Certificate of Attendance (evaluated by participating)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Cost: 250$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Participants: Current Licensed Aestheticians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