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Menopausal Skin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Discover the journey the skin goes through during the menopause. Learn the multitude of changes that occur within the body during the menopause, and how it ultimately affects the skin.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open discussion as to the options available to improve skin health during the peri-menopause and the menopause.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Learning Objectives: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 understand the stages of menopause.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Understand the Impact of hormonal changes on the skin.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identify the appropriate skin care treatments options during the menopause, including skincare, chemical peels and device treatments.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Explore different treatment options available and how they could be incorporated into your clinic/treatment room.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Practical Objectives: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Understand the difference between intrinsic and extrinsic aging.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how to use your Skin Consultation as a tool.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Skin care curated for each individual skin.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Course details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Duration 6 hours (50/50 theory and practical)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Certificate of Attendance (evaluated by participating)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Cost: 250$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Participants: Current Licensed Aestheticians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